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7A016C" w:rsidRDefault="003C0090" w:rsidP="007A016C">
      <w:pPr>
        <w:ind w:firstLine="4111"/>
        <w:jc w:val="right"/>
        <w:rPr>
          <w:sz w:val="22"/>
          <w:szCs w:val="22"/>
        </w:rPr>
      </w:pPr>
      <w:r>
        <w:rPr>
          <w:sz w:val="22"/>
          <w:szCs w:val="22"/>
        </w:rPr>
        <w:t>201</w:t>
      </w:r>
      <w:r w:rsidR="00572274">
        <w:rPr>
          <w:sz w:val="22"/>
          <w:szCs w:val="22"/>
        </w:rPr>
        <w:t>9</w:t>
      </w:r>
      <w:r>
        <w:rPr>
          <w:sz w:val="22"/>
          <w:szCs w:val="22"/>
        </w:rPr>
        <w:t xml:space="preserve"> m. </w:t>
      </w:r>
      <w:r w:rsidR="00171002">
        <w:rPr>
          <w:sz w:val="22"/>
          <w:szCs w:val="22"/>
        </w:rPr>
        <w:t xml:space="preserve">gegužės 29 </w:t>
      </w:r>
      <w:r>
        <w:rPr>
          <w:sz w:val="22"/>
          <w:szCs w:val="22"/>
        </w:rPr>
        <w:t xml:space="preserve">d.   </w:t>
      </w:r>
      <w:r w:rsidR="007A016C" w:rsidRPr="00417925">
        <w:rPr>
          <w:sz w:val="22"/>
          <w:szCs w:val="22"/>
        </w:rPr>
        <w:t xml:space="preserve">posėdžio protokolu </w:t>
      </w:r>
      <w:r w:rsidR="00F64491">
        <w:rPr>
          <w:sz w:val="22"/>
          <w:szCs w:val="22"/>
        </w:rPr>
        <w:t xml:space="preserve">Nr. </w:t>
      </w:r>
      <w:r w:rsidR="00171002">
        <w:rPr>
          <w:sz w:val="22"/>
          <w:szCs w:val="22"/>
        </w:rPr>
        <w:t>2019/1</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(Išdėstomi projekto tikslai ir uždaviniai)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Informacija apie galimus žaliavų tiekėjus, produktų (gaminių), paslaugų rūšį, apimtį, pardavimo rinkas, kokybę, specifiką, inovatyvumą</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r>
              <w:rPr>
                <w:sz w:val="22"/>
                <w:szCs w:val="22"/>
                <w:lang w:val="en-GB" w:eastAsia="lt-LT"/>
              </w:rPr>
              <w:t>Pateikiama informacija apie produkcijos realizavimo rinkas, konkurentus (ne daugiau kaip 10 eilučių)</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(Pateikiama informacija apie projekto inovatyvumą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 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Europos Sąjungos paramos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be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su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Finansavimo šaltinis ir suma,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suma, Eur</w:t>
                  </w: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1. Turimos paskolos ir (arba) finansinė nuoma (lizingas) (Eur)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2. Paskolų aptarnavimas (Eur)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val="en-US"/>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B114A"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 xml:space="preserve">3. Finansinės nuomos (lizingo) aptarnavimas (Eur)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6"/>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Patentai, licenzijos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Kiti 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Eil.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r>
              <w:rPr>
                <w:b/>
                <w:bCs/>
                <w:sz w:val="22"/>
                <w:szCs w:val="22"/>
                <w:lang w:val="en-US" w:eastAsia="lt-LT"/>
              </w:rPr>
              <w:t>Straipsniai</w:t>
            </w:r>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Ataskaitiniai 20... metai</w:t>
            </w:r>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 xml:space="preserve">Prognozės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Grynasis pelnas (nuostoliai)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Nusidėvėjimo ir amortizacijos sąnaudos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Po vienerių metų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Atsargų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Išankstinių apmokėjimų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Nebaigtų vykdyti sutarčių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Pirkėjų įsiskolinimo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Patronuojamųjų ir asocijuotųjų įmonių skolų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Kito trumpalaikio turto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Trumpalaikių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Pelno mokesčio įsipareigojimų padidėjimas (sumažėjimas)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Su darbo santykiais susijusių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Atidėjimų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mokėtinų sumų ir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materialiojo ir nematerialiojo turto perleidimo rezultatų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Finansinės ir investicinės veiklos rezultatų pašalinimas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nepiniginių straipsnių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Ilgalaikio turto (išskyrus investicijas)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turto (išskyrus investicijas) perleidimas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Ilgalaikių investicijų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investicijų perleidimas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suteikimas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susigrąžinimas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Gauti dividendai, palūkanos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investicinės veiklos pinigų srautų padidėjimai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investicinės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įmonės savininkais: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Akcijų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Savininkų įnašai nuostoliams padengti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Savų akcijų supirkimas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Dividendų išmokėjimas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kitais finansavimo šaltiniais: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Finansinių skolų padidėjimas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Paskolų gavimas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Finansinių skolų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supirkimas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Sumokėtos palūkanos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Lizingo (finansinės nuomos) mokėjimai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Kitų įmonės įsipareigojimų padidėjimas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įmonės įsipareigojimų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finansinės veiklos pinigų srautų padidėjimai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finansinės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 xml:space="preserve">Ypatingųjų straipsnių pinigų srautai: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padidėjimas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Valiutų kursų pasikeitimo įtaka grynųjų pinigų ir pinigų ekvivalentų likučiui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Grynasis pinigų srautų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pradžioje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pabaigoje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E7771C">
        <w:trPr>
          <w:trHeight w:val="272"/>
        </w:trPr>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47"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E7771C">
        <w:trPr>
          <w:trHeight w:val="496"/>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E7771C">
        <w:trPr>
          <w:trHeight w:val="528"/>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515"/>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256"/>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E7771C">
        <w:trPr>
          <w:trHeight w:val="256"/>
        </w:trPr>
        <w:tc>
          <w:tcPr>
            <w:tcW w:w="137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Vidinė grąžos norma</w:t>
            </w:r>
          </w:p>
        </w:tc>
        <w:tc>
          <w:tcPr>
            <w:tcW w:w="174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3E" w:rsidRDefault="004E5B3E" w:rsidP="009138E8">
      <w:r>
        <w:separator/>
      </w:r>
    </w:p>
  </w:endnote>
  <w:endnote w:type="continuationSeparator" w:id="0">
    <w:p w:rsidR="004E5B3E" w:rsidRDefault="004E5B3E"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3E" w:rsidRDefault="004E5B3E" w:rsidP="009138E8">
      <w:r>
        <w:separator/>
      </w:r>
    </w:p>
  </w:footnote>
  <w:footnote w:type="continuationSeparator" w:id="0">
    <w:p w:rsidR="004E5B3E" w:rsidRDefault="004E5B3E"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AB10F6">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2"/>
    <w:rsid w:val="00023673"/>
    <w:rsid w:val="00116683"/>
    <w:rsid w:val="00171002"/>
    <w:rsid w:val="001F0F86"/>
    <w:rsid w:val="002375DC"/>
    <w:rsid w:val="00276632"/>
    <w:rsid w:val="003C0090"/>
    <w:rsid w:val="004A49ED"/>
    <w:rsid w:val="004B05D3"/>
    <w:rsid w:val="004E5B3E"/>
    <w:rsid w:val="005708E2"/>
    <w:rsid w:val="00572274"/>
    <w:rsid w:val="005D79D8"/>
    <w:rsid w:val="005E5355"/>
    <w:rsid w:val="00696534"/>
    <w:rsid w:val="006A6D6F"/>
    <w:rsid w:val="00702DF8"/>
    <w:rsid w:val="007A016C"/>
    <w:rsid w:val="008C69BE"/>
    <w:rsid w:val="008E6804"/>
    <w:rsid w:val="009138E8"/>
    <w:rsid w:val="00927D10"/>
    <w:rsid w:val="00955E0E"/>
    <w:rsid w:val="0099266C"/>
    <w:rsid w:val="00994BE1"/>
    <w:rsid w:val="009F04C5"/>
    <w:rsid w:val="00A66B15"/>
    <w:rsid w:val="00AB10F6"/>
    <w:rsid w:val="00B80E93"/>
    <w:rsid w:val="00C57FCB"/>
    <w:rsid w:val="00C636F6"/>
    <w:rsid w:val="00F55DEC"/>
    <w:rsid w:val="00F6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EA63-D41B-4387-A75A-8DDD0F3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2517</Words>
  <Characters>14348</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Austeja Martisiute</cp:lastModifiedBy>
  <cp:revision>2</cp:revision>
  <dcterms:created xsi:type="dcterms:W3CDTF">2019-08-21T08:07:00Z</dcterms:created>
  <dcterms:modified xsi:type="dcterms:W3CDTF">2019-08-21T08:07:00Z</dcterms:modified>
</cp:coreProperties>
</file>